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  <w:r>
        <w:rPr>
          <w:rFonts w:hint="eastAsia"/>
          <w:b/>
          <w:bCs/>
          <w:color w:val="222222"/>
          <w:sz w:val="28"/>
          <w:szCs w:val="28"/>
        </w:rPr>
        <w:t>EXCELENTÍSSIMO SENHOR JUIZ FEDERAL DO JUIZADO ESPECIAL FEDERALDA SUBSEÇ</w:t>
      </w:r>
      <w:r>
        <w:rPr>
          <w:b/>
          <w:bCs/>
          <w:color w:val="222222"/>
          <w:sz w:val="28"/>
          <w:szCs w:val="28"/>
        </w:rPr>
        <w:t>ÃO JUDICIÁRIA</w:t>
      </w:r>
      <w:r>
        <w:rPr>
          <w:rFonts w:hint="eastAsia"/>
          <w:b/>
          <w:bCs/>
          <w:color w:val="222222"/>
          <w:sz w:val="28"/>
          <w:szCs w:val="28"/>
        </w:rPr>
        <w:t xml:space="preserve"> CURITIBA – SEÇÃO JUDICIÁRIA DO PARANÁ</w:t>
      </w: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Default="00147553" w:rsidP="00147553">
      <w:pPr>
        <w:jc w:val="both"/>
        <w:rPr>
          <w:b/>
          <w:bCs/>
          <w:color w:val="222222"/>
          <w:sz w:val="28"/>
          <w:szCs w:val="28"/>
        </w:rPr>
      </w:pPr>
    </w:p>
    <w:p w:rsidR="00147553" w:rsidRPr="00080A2B" w:rsidRDefault="00147553" w:rsidP="00147553">
      <w:pPr>
        <w:ind w:firstLine="1440"/>
        <w:jc w:val="both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_________, </w:t>
      </w:r>
      <w:proofErr w:type="gramStart"/>
      <w:r w:rsidRPr="00080A2B">
        <w:rPr>
          <w:bCs/>
          <w:color w:val="222222"/>
          <w:sz w:val="28"/>
          <w:szCs w:val="28"/>
        </w:rPr>
        <w:t>brasileir</w:t>
      </w:r>
      <w:r>
        <w:rPr>
          <w:bCs/>
          <w:color w:val="222222"/>
          <w:sz w:val="28"/>
          <w:szCs w:val="28"/>
        </w:rPr>
        <w:t>o</w:t>
      </w:r>
      <w:r w:rsidRPr="00080A2B">
        <w:rPr>
          <w:bCs/>
          <w:color w:val="222222"/>
          <w:sz w:val="28"/>
          <w:szCs w:val="28"/>
        </w:rPr>
        <w:t>,</w:t>
      </w:r>
      <w:proofErr w:type="gramEnd"/>
      <w:r>
        <w:rPr>
          <w:bCs/>
          <w:color w:val="222222"/>
          <w:sz w:val="28"/>
          <w:szCs w:val="28"/>
        </w:rPr>
        <w:t>União Estável,Analista Oficial de Justiça Avaliador</w:t>
      </w:r>
      <w:r w:rsidRPr="00080A2B">
        <w:rPr>
          <w:bCs/>
          <w:color w:val="222222"/>
          <w:sz w:val="28"/>
          <w:szCs w:val="28"/>
        </w:rPr>
        <w:t xml:space="preserve"> na Justiça Federal, </w:t>
      </w:r>
      <w:r>
        <w:rPr>
          <w:bCs/>
          <w:color w:val="222222"/>
          <w:sz w:val="28"/>
          <w:szCs w:val="28"/>
        </w:rPr>
        <w:t>subs</w:t>
      </w:r>
      <w:r w:rsidRPr="00080A2B">
        <w:rPr>
          <w:bCs/>
          <w:color w:val="222222"/>
          <w:sz w:val="28"/>
          <w:szCs w:val="28"/>
        </w:rPr>
        <w:t>eção Judici</w:t>
      </w:r>
      <w:r>
        <w:rPr>
          <w:bCs/>
          <w:color w:val="222222"/>
          <w:sz w:val="28"/>
          <w:szCs w:val="28"/>
        </w:rPr>
        <w:t>á</w:t>
      </w:r>
      <w:r w:rsidRPr="00080A2B">
        <w:rPr>
          <w:bCs/>
          <w:color w:val="222222"/>
          <w:sz w:val="28"/>
          <w:szCs w:val="28"/>
        </w:rPr>
        <w:t xml:space="preserve">ria do Paraná, matricula </w:t>
      </w:r>
      <w:r>
        <w:rPr>
          <w:bCs/>
          <w:color w:val="222222"/>
          <w:sz w:val="28"/>
          <w:szCs w:val="28"/>
        </w:rPr>
        <w:t>10095, Portador</w:t>
      </w:r>
      <w:r w:rsidRPr="00080A2B">
        <w:rPr>
          <w:bCs/>
          <w:color w:val="222222"/>
          <w:sz w:val="28"/>
          <w:szCs w:val="28"/>
        </w:rPr>
        <w:t xml:space="preserve"> do RG nº </w:t>
      </w:r>
      <w:r>
        <w:rPr>
          <w:bCs/>
          <w:color w:val="222222"/>
          <w:sz w:val="28"/>
          <w:szCs w:val="28"/>
        </w:rPr>
        <w:t>_______</w:t>
      </w:r>
      <w:r w:rsidRPr="00080A2B">
        <w:rPr>
          <w:bCs/>
          <w:color w:val="222222"/>
          <w:sz w:val="28"/>
          <w:szCs w:val="28"/>
        </w:rPr>
        <w:t xml:space="preserve"> inscrit</w:t>
      </w:r>
      <w:r>
        <w:rPr>
          <w:bCs/>
          <w:color w:val="222222"/>
          <w:sz w:val="28"/>
          <w:szCs w:val="28"/>
        </w:rPr>
        <w:t>o</w:t>
      </w:r>
      <w:r w:rsidRPr="00080A2B">
        <w:rPr>
          <w:bCs/>
          <w:color w:val="222222"/>
          <w:sz w:val="28"/>
          <w:szCs w:val="28"/>
        </w:rPr>
        <w:t xml:space="preserve"> no CPF sob o n° </w:t>
      </w:r>
      <w:r>
        <w:rPr>
          <w:bCs/>
          <w:color w:val="222222"/>
          <w:sz w:val="28"/>
          <w:szCs w:val="28"/>
        </w:rPr>
        <w:t>____________</w:t>
      </w:r>
      <w:r w:rsidRPr="00080A2B">
        <w:rPr>
          <w:bCs/>
          <w:color w:val="222222"/>
          <w:sz w:val="28"/>
          <w:szCs w:val="28"/>
        </w:rPr>
        <w:t xml:space="preserve">, residente na Rua </w:t>
      </w:r>
      <w:r>
        <w:rPr>
          <w:bCs/>
          <w:color w:val="222222"/>
          <w:sz w:val="28"/>
          <w:szCs w:val="28"/>
        </w:rPr>
        <w:t xml:space="preserve">_______, </w:t>
      </w:r>
      <w:r w:rsidR="00C14CB5">
        <w:rPr>
          <w:bCs/>
          <w:color w:val="222222"/>
          <w:sz w:val="28"/>
          <w:szCs w:val="28"/>
        </w:rPr>
        <w:t>nº____</w:t>
      </w:r>
      <w:r w:rsidRPr="00080A2B">
        <w:rPr>
          <w:bCs/>
          <w:color w:val="222222"/>
          <w:sz w:val="28"/>
          <w:szCs w:val="28"/>
        </w:rPr>
        <w:t xml:space="preserve">, Curitiba/PR, vem respeitosamente á presença de Vossa Excelência, propor a </w:t>
      </w:r>
      <w:r>
        <w:rPr>
          <w:bCs/>
          <w:color w:val="222222"/>
          <w:sz w:val="28"/>
          <w:szCs w:val="28"/>
        </w:rPr>
        <w:t>presente</w:t>
      </w: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AÇÃO DE COBRANÇA DE DIFERENÇAS NA REMUNERAÇÃO DECORRENTES DA LEI nº 13.317/2016</w:t>
      </w:r>
    </w:p>
    <w:p w:rsidR="00147553" w:rsidRDefault="00147553" w:rsidP="00147553">
      <w:pPr>
        <w:ind w:firstLine="1440"/>
        <w:jc w:val="center"/>
        <w:rPr>
          <w:color w:val="000000"/>
          <w:sz w:val="30"/>
          <w:szCs w:val="30"/>
        </w:rPr>
      </w:pPr>
    </w:p>
    <w:p w:rsidR="00147553" w:rsidRDefault="00147553" w:rsidP="00147553">
      <w:pPr>
        <w:ind w:firstLine="1440"/>
        <w:jc w:val="center"/>
        <w:rPr>
          <w:color w:val="000000"/>
          <w:sz w:val="30"/>
          <w:szCs w:val="30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Em</w:t>
      </w:r>
      <w:r>
        <w:rPr>
          <w:rFonts w:hint="eastAsia"/>
          <w:color w:val="222222"/>
          <w:sz w:val="28"/>
          <w:szCs w:val="28"/>
        </w:rPr>
        <w:t xml:space="preserve"> face da </w:t>
      </w:r>
      <w:r>
        <w:rPr>
          <w:rFonts w:hint="eastAsia"/>
          <w:b/>
          <w:bCs/>
          <w:color w:val="000000"/>
          <w:sz w:val="28"/>
          <w:szCs w:val="28"/>
        </w:rPr>
        <w:t>UNIÃO FEDERAL (ADVOCACIA GERAL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DA UNIÃO)</w:t>
      </w:r>
      <w:r>
        <w:rPr>
          <w:rFonts w:hint="eastAsia"/>
          <w:color w:val="000000"/>
          <w:sz w:val="28"/>
          <w:szCs w:val="28"/>
        </w:rPr>
        <w:t xml:space="preserve">, pessoa jurídica de direito público, com sede no endereço deconhecimento deste Juízo, sendo citada e intimada na forma da Lei, pelos fatose fundamentos jurídicos </w:t>
      </w:r>
      <w:r>
        <w:rPr>
          <w:rFonts w:hint="eastAsia"/>
          <w:color w:val="222222"/>
          <w:sz w:val="28"/>
          <w:szCs w:val="28"/>
        </w:rPr>
        <w:t>a seguir expostos.</w:t>
      </w: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1. DOS FATOS</w:t>
      </w:r>
    </w:p>
    <w:p w:rsidR="00147553" w:rsidRDefault="00147553" w:rsidP="00147553">
      <w:pPr>
        <w:ind w:firstLine="1440"/>
        <w:jc w:val="both"/>
        <w:rPr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A Lei nº 13.317 de 20 de julho de 2016 que alterou alguns</w:t>
      </w:r>
      <w:r>
        <w:rPr>
          <w:rFonts w:hint="eastAsia"/>
          <w:color w:val="222222"/>
          <w:sz w:val="28"/>
          <w:szCs w:val="28"/>
        </w:rPr>
        <w:br/>
        <w:t>dos dispositivos da Lei nº 11.416/2006, concedendo aos servidores do Poder</w:t>
      </w:r>
      <w:r>
        <w:rPr>
          <w:rFonts w:hint="eastAsia"/>
          <w:color w:val="222222"/>
          <w:sz w:val="28"/>
          <w:szCs w:val="28"/>
        </w:rPr>
        <w:br/>
        <w:t>Judiciário da União aumento dos vencimentos e da gratificação de atividade</w:t>
      </w:r>
      <w:r>
        <w:rPr>
          <w:rFonts w:hint="eastAsia"/>
          <w:color w:val="222222"/>
          <w:sz w:val="28"/>
          <w:szCs w:val="28"/>
        </w:rPr>
        <w:br/>
        <w:t xml:space="preserve">judiciária (GAJ), </w:t>
      </w:r>
      <w:r>
        <w:rPr>
          <w:rFonts w:hint="eastAsia"/>
          <w:b/>
          <w:bCs/>
          <w:color w:val="222222"/>
          <w:sz w:val="28"/>
          <w:szCs w:val="28"/>
        </w:rPr>
        <w:t>a ser concedido sucessivamente, em parcelas, no período</w:t>
      </w:r>
      <w:r>
        <w:rPr>
          <w:rFonts w:hint="eastAsia"/>
          <w:color w:val="222222"/>
          <w:sz w:val="28"/>
          <w:szCs w:val="28"/>
        </w:rPr>
        <w:br/>
      </w:r>
      <w:r>
        <w:rPr>
          <w:rFonts w:hint="eastAsia"/>
          <w:b/>
          <w:bCs/>
          <w:color w:val="222222"/>
          <w:sz w:val="28"/>
          <w:szCs w:val="28"/>
        </w:rPr>
        <w:t xml:space="preserve">de 1º de junho de 2016 </w:t>
      </w:r>
      <w:r>
        <w:rPr>
          <w:rFonts w:hint="eastAsia"/>
          <w:color w:val="222222"/>
          <w:sz w:val="28"/>
          <w:szCs w:val="28"/>
        </w:rPr>
        <w:t xml:space="preserve">à 1º de janeiro de 2019, conforme dispõe seus </w:t>
      </w:r>
      <w:proofErr w:type="spellStart"/>
      <w:r>
        <w:rPr>
          <w:rFonts w:hint="eastAsia"/>
          <w:color w:val="222222"/>
          <w:sz w:val="28"/>
          <w:szCs w:val="28"/>
        </w:rPr>
        <w:t>arts</w:t>
      </w:r>
      <w:proofErr w:type="spellEnd"/>
      <w:r>
        <w:rPr>
          <w:rFonts w:hint="eastAsia"/>
          <w:color w:val="222222"/>
          <w:sz w:val="28"/>
          <w:szCs w:val="28"/>
        </w:rPr>
        <w:t>.</w:t>
      </w:r>
      <w:r>
        <w:rPr>
          <w:rFonts w:hint="eastAsia"/>
          <w:color w:val="222222"/>
          <w:sz w:val="28"/>
          <w:szCs w:val="28"/>
        </w:rPr>
        <w:br/>
        <w:t>2º e 3º.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Ocorre que, em 21 de julho de 2016, a Portaria Conjunta</w:t>
      </w:r>
      <w:r>
        <w:rPr>
          <w:rFonts w:hint="eastAsia"/>
          <w:color w:val="000000"/>
          <w:sz w:val="28"/>
          <w:szCs w:val="28"/>
        </w:rPr>
        <w:br/>
        <w:t>nº 1 (publicada no DOU em de 25/07/2016) do Supremo Tribunal Federal,</w:t>
      </w:r>
      <w:r>
        <w:rPr>
          <w:rFonts w:hint="eastAsia"/>
          <w:color w:val="000000"/>
          <w:sz w:val="28"/>
          <w:szCs w:val="28"/>
        </w:rPr>
        <w:br/>
        <w:t xml:space="preserve">que regulamenta a aplicação da Lei nº 13.317/2016, </w:t>
      </w:r>
      <w:r>
        <w:rPr>
          <w:rFonts w:hint="eastAsia"/>
          <w:b/>
          <w:bCs/>
          <w:color w:val="000000"/>
          <w:sz w:val="28"/>
          <w:szCs w:val="28"/>
        </w:rPr>
        <w:t>determinou em seu art.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lastRenderedPageBreak/>
        <w:t>1º que a mencionada Lei só surtiria efeitos a partir do dia 21 de julho de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2016</w:t>
      </w:r>
      <w:r>
        <w:rPr>
          <w:rFonts w:hint="eastAsia"/>
          <w:color w:val="000000"/>
          <w:sz w:val="28"/>
          <w:szCs w:val="28"/>
        </w:rPr>
        <w:t>. Assim sendo, a mencionada portaria extrapolou os limites de sua</w:t>
      </w:r>
      <w:r>
        <w:rPr>
          <w:rFonts w:hint="eastAsia"/>
          <w:color w:val="000000"/>
          <w:sz w:val="28"/>
          <w:szCs w:val="28"/>
        </w:rPr>
        <w:br/>
        <w:t>discricionariedade,</w:t>
      </w:r>
      <w:r>
        <w:rPr>
          <w:rFonts w:hint="eastAsia"/>
          <w:b/>
          <w:bCs/>
          <w:color w:val="000000"/>
          <w:sz w:val="28"/>
          <w:szCs w:val="28"/>
        </w:rPr>
        <w:t>apresentando disposição flagrantemente ilegal</w:t>
      </w:r>
      <w:r>
        <w:rPr>
          <w:rFonts w:hint="eastAsia"/>
          <w:color w:val="000000"/>
          <w:sz w:val="28"/>
          <w:szCs w:val="28"/>
        </w:rPr>
        <w:t xml:space="preserve">, que produziu seus efeitos </w:t>
      </w:r>
      <w:r>
        <w:rPr>
          <w:color w:val="000000"/>
          <w:sz w:val="28"/>
          <w:szCs w:val="28"/>
        </w:rPr>
        <w:t xml:space="preserve">e </w:t>
      </w:r>
      <w:r>
        <w:rPr>
          <w:rFonts w:hint="eastAsia"/>
          <w:color w:val="000000"/>
          <w:sz w:val="28"/>
          <w:szCs w:val="28"/>
        </w:rPr>
        <w:t>resultou na incidência do reajuste apenas nos últimos dias do mês de julho de2016, negligenciando o mês de junho e a maior parte do mês de julho.</w:t>
      </w:r>
    </w:p>
    <w:p w:rsidR="00147553" w:rsidRDefault="00147553" w:rsidP="00147553">
      <w:pPr>
        <w:ind w:firstLine="1440"/>
        <w:jc w:val="both"/>
        <w:rPr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A parte autora é servidor</w:t>
      </w:r>
      <w:r>
        <w:rPr>
          <w:b/>
          <w:bCs/>
          <w:color w:val="000000"/>
          <w:sz w:val="28"/>
          <w:szCs w:val="28"/>
        </w:rPr>
        <w:t>ada Subseção Judiciária de Curitiba/PR, Seção Judiciária do Paraná,</w:t>
      </w:r>
      <w:r>
        <w:rPr>
          <w:rFonts w:hint="eastAsia"/>
          <w:b/>
          <w:bCs/>
          <w:color w:val="000000"/>
          <w:sz w:val="28"/>
          <w:szCs w:val="28"/>
        </w:rPr>
        <w:t xml:space="preserve"> e, por esse motivo, tem direito ao reajuste nos exatostermos da Lei nº 13.317/2016, conforme fundamentos que passa a expor.</w:t>
      </w: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DOS FUNDAMENTOS</w:t>
      </w: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DA OFENSA AO PRINCÍPIO DA LEGALIDADE E DA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HIERARQUIA DAS NORMAS NA REGULAMENTAÇÃO DA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PORTARIA CONJUNTA Nº 1 SOBRE AS DISPOSIÇÕES DA LEI Nº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b/>
          <w:bCs/>
          <w:color w:val="000000"/>
          <w:sz w:val="28"/>
          <w:szCs w:val="28"/>
        </w:rPr>
        <w:t>13.317/2016</w:t>
      </w:r>
    </w:p>
    <w:p w:rsidR="00147553" w:rsidRDefault="00147553" w:rsidP="00147553">
      <w:pPr>
        <w:ind w:firstLine="1440"/>
        <w:jc w:val="both"/>
        <w:rPr>
          <w:rFonts w:ascii="AGaramondPro-Bold" w:hAnsi="AGaramondPro-Bold"/>
          <w:b/>
          <w:bCs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A Lei nº 13.317/2016, que alterou as disposições da Lei nº</w:t>
      </w:r>
      <w:r>
        <w:rPr>
          <w:rFonts w:hint="eastAsia"/>
          <w:color w:val="222222"/>
          <w:sz w:val="28"/>
          <w:szCs w:val="28"/>
        </w:rPr>
        <w:br/>
        <w:t>11.416/2006, concedeu reajuste de remuneração aos servidores públicos do</w:t>
      </w:r>
      <w:r>
        <w:rPr>
          <w:rFonts w:hint="eastAsia"/>
          <w:color w:val="222222"/>
          <w:sz w:val="28"/>
          <w:szCs w:val="28"/>
        </w:rPr>
        <w:br/>
        <w:t>Poder Judiciário da União. Em seu art. 1º a mencionada legislação estabelece</w:t>
      </w:r>
      <w:r>
        <w:rPr>
          <w:rFonts w:hint="eastAsia"/>
          <w:color w:val="222222"/>
          <w:sz w:val="28"/>
          <w:szCs w:val="28"/>
        </w:rPr>
        <w:br/>
        <w:t>uma nova tabela de vencimentos para os servidores, substituindo aquela</w:t>
      </w:r>
      <w:r>
        <w:rPr>
          <w:rFonts w:hint="eastAsia"/>
          <w:color w:val="222222"/>
          <w:sz w:val="28"/>
          <w:szCs w:val="28"/>
        </w:rPr>
        <w:br/>
        <w:t>constante no anexo II da Lei nº 11.416/2006, vejamos: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left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t>Art. 1º  O </w:t>
      </w:r>
      <w:hyperlink r:id="rId4" w:anchor="anexoii.." w:history="1">
        <w:r>
          <w:t>Anexo II da Lei no 11.416, de 15 de dezembro de 2006</w:t>
        </w:r>
      </w:hyperlink>
      <w:r>
        <w:t>, passa a ser o constante do </w:t>
      </w:r>
      <w:hyperlink r:id="rId5" w:anchor="anexoi" w:history="1">
        <w:r>
          <w:t>Anexo I desta Lei</w:t>
        </w:r>
      </w:hyperlink>
      <w:r>
        <w:rPr>
          <w:i/>
          <w:iCs/>
        </w:rPr>
        <w:t>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Dessa forma, a mencionada Lei estabelece novos valores para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os vencimentos de todas as classes e padrões de todos os cargos efetivos dos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servidores do Poder Judiciário da União. Para minimizar o impacto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orçamentário do reajuste estipulado, no entanto, conforme disposição do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artigo seguinte, o reajuste será </w:t>
      </w:r>
      <w:proofErr w:type="gramStart"/>
      <w:r>
        <w:rPr>
          <w:rFonts w:ascii="AGaramondPro-Regular" w:hAnsi="AGaramondPro-Regular" w:hint="eastAsia"/>
          <w:color w:val="222222"/>
          <w:sz w:val="28"/>
          <w:szCs w:val="28"/>
        </w:rPr>
        <w:t>implementado</w:t>
      </w:r>
      <w:proofErr w:type="gram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progressivamente na forma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prevista no art. 2º: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left="1080"/>
        <w:jc w:val="both"/>
      </w:pPr>
    </w:p>
    <w:p w:rsidR="00147553" w:rsidRDefault="00147553" w:rsidP="00147553">
      <w:pPr>
        <w:ind w:left="1080"/>
        <w:jc w:val="both"/>
        <w:rPr>
          <w:rFonts w:eastAsia="Arial Unicode MS"/>
        </w:rPr>
      </w:pPr>
      <w:r>
        <w:t>Art. 2</w:t>
      </w:r>
      <w:r>
        <w:rPr>
          <w:u w:val="single"/>
          <w:vertAlign w:val="superscript"/>
        </w:rPr>
        <w:t>o</w:t>
      </w:r>
      <w:r>
        <w:t>  A diferença entre o vencimento fixado por esta Lei e o decorrente da </w:t>
      </w:r>
      <w:hyperlink r:id="rId6" w:history="1">
        <w:r>
          <w:rPr>
            <w:rStyle w:val="Hyperlink"/>
          </w:rPr>
          <w:t>Lei n</w:t>
        </w:r>
        <w:r>
          <w:rPr>
            <w:rStyle w:val="Hyperlink"/>
            <w:vertAlign w:val="superscript"/>
          </w:rPr>
          <w:t>o</w:t>
        </w:r>
        <w:r>
          <w:rPr>
            <w:rStyle w:val="Hyperlink"/>
          </w:rPr>
          <w:t> 11.416, de 15 de dezembro de 2006</w:t>
        </w:r>
      </w:hyperlink>
      <w:r>
        <w:t xml:space="preserve">, será </w:t>
      </w:r>
      <w:proofErr w:type="gramStart"/>
      <w:r>
        <w:t>implementada</w:t>
      </w:r>
      <w:proofErr w:type="gramEnd"/>
      <w:r>
        <w:t xml:space="preserve"> em parcelas sucessivas, não cumulativas, conforme o </w:t>
      </w:r>
      <w:hyperlink r:id="rId7" w:anchor="anexoii" w:history="1">
        <w:r>
          <w:rPr>
            <w:rStyle w:val="Hyperlink"/>
          </w:rPr>
          <w:t>Anexo II desta Lei</w:t>
        </w:r>
      </w:hyperlink>
      <w:r>
        <w:t>, observada a seguinte razão:</w:t>
      </w:r>
    </w:p>
    <w:p w:rsidR="00147553" w:rsidRDefault="00147553" w:rsidP="00147553">
      <w:pPr>
        <w:ind w:left="1080"/>
        <w:jc w:val="both"/>
      </w:pPr>
      <w:r>
        <w:t>I - 1,5% (um inteiro e cinco décimos por cento), a partir de 1</w:t>
      </w:r>
      <w:r>
        <w:rPr>
          <w:u w:val="single"/>
          <w:vertAlign w:val="superscript"/>
        </w:rPr>
        <w:t>o</w:t>
      </w:r>
      <w:r>
        <w:t> de junho de 2016;</w:t>
      </w:r>
    </w:p>
    <w:p w:rsidR="00147553" w:rsidRDefault="00147553" w:rsidP="00147553">
      <w:pPr>
        <w:ind w:left="1080"/>
        <w:jc w:val="both"/>
      </w:pPr>
      <w:r>
        <w:t>II - 3% (três por cento), a partir de 1</w:t>
      </w:r>
      <w:r>
        <w:rPr>
          <w:u w:val="single"/>
          <w:vertAlign w:val="superscript"/>
        </w:rPr>
        <w:t>o</w:t>
      </w:r>
      <w:r>
        <w:t> de julho de 2016;</w:t>
      </w:r>
    </w:p>
    <w:p w:rsidR="00147553" w:rsidRDefault="00147553" w:rsidP="00147553">
      <w:pPr>
        <w:ind w:left="1080"/>
        <w:jc w:val="both"/>
      </w:pPr>
      <w:r>
        <w:lastRenderedPageBreak/>
        <w:t>III - 5% (cinco por cento), a partir de 1</w:t>
      </w:r>
      <w:r>
        <w:rPr>
          <w:u w:val="single"/>
          <w:vertAlign w:val="superscript"/>
        </w:rPr>
        <w:t>o</w:t>
      </w:r>
      <w:r>
        <w:t> de novembro de 2016;</w:t>
      </w:r>
    </w:p>
    <w:p w:rsidR="00147553" w:rsidRDefault="00147553" w:rsidP="00147553">
      <w:pPr>
        <w:ind w:left="1080"/>
        <w:jc w:val="both"/>
      </w:pPr>
      <w:r>
        <w:t>IV - 6% (seis por cento), a partir de 1</w:t>
      </w:r>
      <w:r>
        <w:rPr>
          <w:u w:val="single"/>
          <w:vertAlign w:val="superscript"/>
        </w:rPr>
        <w:t>o</w:t>
      </w:r>
      <w:r>
        <w:t> de junho de 2017;</w:t>
      </w:r>
    </w:p>
    <w:p w:rsidR="00147553" w:rsidRDefault="00147553" w:rsidP="00147553">
      <w:pPr>
        <w:ind w:left="1080"/>
        <w:jc w:val="both"/>
      </w:pPr>
      <w:r>
        <w:t>V - 7% (sete por cento), a partir de 1</w:t>
      </w:r>
      <w:r>
        <w:rPr>
          <w:u w:val="single"/>
          <w:vertAlign w:val="superscript"/>
        </w:rPr>
        <w:t>o</w:t>
      </w:r>
      <w:r>
        <w:t> de novembro de 2017;</w:t>
      </w:r>
    </w:p>
    <w:p w:rsidR="00147553" w:rsidRDefault="00147553" w:rsidP="00147553">
      <w:pPr>
        <w:ind w:left="1080"/>
        <w:jc w:val="both"/>
      </w:pPr>
      <w:r>
        <w:t>VI - 8% (oito por cento), a partir de 1</w:t>
      </w:r>
      <w:r>
        <w:rPr>
          <w:u w:val="single"/>
          <w:vertAlign w:val="superscript"/>
        </w:rPr>
        <w:t>o</w:t>
      </w:r>
      <w:r>
        <w:t> de junho de 2018;</w:t>
      </w:r>
    </w:p>
    <w:p w:rsidR="00147553" w:rsidRDefault="00147553" w:rsidP="00147553">
      <w:pPr>
        <w:ind w:left="1080"/>
        <w:jc w:val="both"/>
      </w:pPr>
      <w:r>
        <w:t>VII - 9% (nove por cento), a partir de 1</w:t>
      </w:r>
      <w:r>
        <w:rPr>
          <w:u w:val="single"/>
          <w:vertAlign w:val="superscript"/>
        </w:rPr>
        <w:t>o</w:t>
      </w:r>
      <w:r>
        <w:t> de novembro de 2018;</w:t>
      </w:r>
    </w:p>
    <w:p w:rsidR="00147553" w:rsidRDefault="00147553" w:rsidP="00147553">
      <w:pPr>
        <w:ind w:left="1080"/>
        <w:jc w:val="both"/>
        <w:rPr>
          <w:color w:val="000000"/>
          <w:sz w:val="20"/>
          <w:szCs w:val="28"/>
        </w:rPr>
      </w:pPr>
      <w:r>
        <w:t>VIII - 12% (doze por cento), a partir de 1</w:t>
      </w:r>
      <w:r>
        <w:rPr>
          <w:u w:val="single"/>
          <w:vertAlign w:val="superscript"/>
        </w:rPr>
        <w:t>o</w:t>
      </w:r>
      <w:r>
        <w:t> de janeiro de 2019.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Assim, </w:t>
      </w:r>
      <w:r>
        <w:rPr>
          <w:rFonts w:hint="eastAsia"/>
          <w:b/>
          <w:bCs/>
          <w:color w:val="222222"/>
          <w:sz w:val="28"/>
          <w:szCs w:val="28"/>
        </w:rPr>
        <w:t>os efeitos financeiros do reajuste se iniciam a</w:t>
      </w:r>
      <w:r>
        <w:rPr>
          <w:rFonts w:hint="eastAsia"/>
          <w:color w:val="222222"/>
          <w:sz w:val="28"/>
          <w:szCs w:val="28"/>
        </w:rPr>
        <w:br/>
      </w:r>
      <w:r>
        <w:rPr>
          <w:rFonts w:hint="eastAsia"/>
          <w:b/>
          <w:bCs/>
          <w:color w:val="222222"/>
          <w:sz w:val="28"/>
          <w:szCs w:val="28"/>
        </w:rPr>
        <w:t>partir de 1º de junho de 2016</w:t>
      </w:r>
      <w:r>
        <w:rPr>
          <w:rFonts w:hint="eastAsia"/>
          <w:color w:val="222222"/>
          <w:sz w:val="28"/>
          <w:szCs w:val="28"/>
        </w:rPr>
        <w:t>, com meros 1,5%, e se aperfeiçoam em 1º de</w:t>
      </w:r>
      <w:r>
        <w:rPr>
          <w:rFonts w:hint="eastAsia"/>
          <w:color w:val="222222"/>
          <w:sz w:val="28"/>
          <w:szCs w:val="28"/>
        </w:rPr>
        <w:br/>
        <w:t xml:space="preserve">janeiro de </w:t>
      </w:r>
      <w:proofErr w:type="gramStart"/>
      <w:r>
        <w:rPr>
          <w:rFonts w:hint="eastAsia"/>
          <w:color w:val="222222"/>
          <w:sz w:val="28"/>
          <w:szCs w:val="28"/>
        </w:rPr>
        <w:t>2019 finalmente concedendo a totalidade dos 12% de reajuste de</w:t>
      </w:r>
      <w:r>
        <w:rPr>
          <w:rFonts w:hint="eastAsia"/>
          <w:color w:val="222222"/>
          <w:sz w:val="28"/>
          <w:szCs w:val="28"/>
        </w:rPr>
        <w:br/>
        <w:t>vencimento</w:t>
      </w:r>
      <w:proofErr w:type="gramEnd"/>
      <w:r>
        <w:rPr>
          <w:rFonts w:hint="eastAsia"/>
          <w:color w:val="222222"/>
          <w:sz w:val="28"/>
          <w:szCs w:val="28"/>
        </w:rPr>
        <w:t>, sendo a Gratificação de Atividade Judiciária (GAJ) também</w:t>
      </w:r>
      <w:r>
        <w:rPr>
          <w:rFonts w:hint="eastAsia"/>
          <w:color w:val="222222"/>
          <w:sz w:val="28"/>
          <w:szCs w:val="28"/>
        </w:rPr>
        <w:br/>
        <w:t xml:space="preserve">reajustada, </w:t>
      </w:r>
      <w:r>
        <w:rPr>
          <w:rFonts w:hint="eastAsia"/>
          <w:b/>
          <w:bCs/>
          <w:color w:val="222222"/>
          <w:sz w:val="28"/>
          <w:szCs w:val="28"/>
        </w:rPr>
        <w:t>conforme dispõe o art. 3º da Lei nº 13.317/2016</w:t>
      </w:r>
      <w:r>
        <w:rPr>
          <w:rFonts w:hint="eastAsia"/>
          <w:color w:val="222222"/>
          <w:sz w:val="28"/>
          <w:szCs w:val="28"/>
        </w:rPr>
        <w:t>, que concedeu</w:t>
      </w:r>
      <w:r>
        <w:rPr>
          <w:rFonts w:hint="eastAsia"/>
          <w:color w:val="222222"/>
          <w:sz w:val="28"/>
          <w:szCs w:val="28"/>
        </w:rPr>
        <w:br/>
        <w:t>nova redação ao art. 13 da Lei nº 11.416/2006:</w:t>
      </w: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left="1080"/>
        <w:jc w:val="both"/>
      </w:pPr>
      <w:r>
        <w:t>Art. 3</w:t>
      </w:r>
      <w:r>
        <w:rPr>
          <w:u w:val="single"/>
          <w:vertAlign w:val="superscript"/>
        </w:rPr>
        <w:t>o</w:t>
      </w:r>
      <w:r>
        <w:t xml:space="preserve">  Os </w:t>
      </w:r>
      <w:proofErr w:type="spellStart"/>
      <w:r>
        <w:t>arts</w:t>
      </w:r>
      <w:proofErr w:type="spellEnd"/>
      <w:r>
        <w:t>. 13 e 15 da </w:t>
      </w:r>
      <w:hyperlink r:id="rId8" w:history="1">
        <w:r>
          <w:rPr>
            <w:rStyle w:val="Hyperlink"/>
          </w:rPr>
          <w:t>Lei n</w:t>
        </w:r>
        <w:r>
          <w:rPr>
            <w:rStyle w:val="Hyperlink"/>
            <w:vertAlign w:val="superscript"/>
          </w:rPr>
          <w:t>o</w:t>
        </w:r>
        <w:r>
          <w:rPr>
            <w:rStyle w:val="Hyperlink"/>
          </w:rPr>
          <w:t> 11.416, de 15 de dezembro de 2006</w:t>
        </w:r>
      </w:hyperlink>
      <w:r>
        <w:t>, passam a vigorar com as seguintes alterações:</w:t>
      </w:r>
    </w:p>
    <w:p w:rsidR="00147553" w:rsidRDefault="00147553" w:rsidP="00147553">
      <w:pPr>
        <w:ind w:left="1080"/>
        <w:jc w:val="both"/>
        <w:rPr>
          <w:rFonts w:eastAsia="Arial Unicode MS"/>
        </w:rPr>
      </w:pPr>
    </w:p>
    <w:p w:rsidR="00147553" w:rsidRDefault="00147553" w:rsidP="00147553">
      <w:pPr>
        <w:ind w:left="1440"/>
        <w:jc w:val="both"/>
      </w:pPr>
      <w:r>
        <w:t>“</w:t>
      </w:r>
      <w:hyperlink r:id="rId9" w:anchor="art13.." w:history="1">
        <w:r>
          <w:rPr>
            <w:rStyle w:val="Hyperlink"/>
          </w:rPr>
          <w:t>Art. 13</w:t>
        </w:r>
      </w:hyperlink>
      <w:r>
        <w:t>.  A Gratificação Judiciária - GAJ será calculada mediante aplicação do percentual de 140% (cento e quarenta por cento) sobre o vencimento básico estabelecido no Anexo II desta Lei.</w:t>
      </w:r>
    </w:p>
    <w:p w:rsidR="00147553" w:rsidRDefault="00147553" w:rsidP="00147553">
      <w:pPr>
        <w:ind w:left="1440"/>
        <w:jc w:val="both"/>
      </w:pPr>
      <w:r>
        <w:t>§ 1</w:t>
      </w:r>
      <w:r>
        <w:rPr>
          <w:u w:val="single"/>
          <w:vertAlign w:val="superscript"/>
        </w:rPr>
        <w:t>o</w:t>
      </w:r>
      <w:r>
        <w:t>  O percentual previsto no </w:t>
      </w:r>
      <w:r>
        <w:rPr>
          <w:b/>
          <w:bCs/>
        </w:rPr>
        <w:t>caput</w:t>
      </w:r>
      <w:r>
        <w:t xml:space="preserve"> será </w:t>
      </w:r>
      <w:proofErr w:type="gramStart"/>
      <w:r>
        <w:t>implementado</w:t>
      </w:r>
      <w:proofErr w:type="gramEnd"/>
      <w:r>
        <w:t xml:space="preserve"> gradativamente sobre os valores fixados no Anexo II desta Lei e corresponderá a:</w:t>
      </w:r>
    </w:p>
    <w:p w:rsidR="00147553" w:rsidRDefault="00147553" w:rsidP="00147553">
      <w:pPr>
        <w:ind w:left="1440"/>
        <w:jc w:val="both"/>
      </w:pPr>
      <w:r>
        <w:t>I - 97% (noventa e sete por cento), a partir de 1</w:t>
      </w:r>
      <w:r>
        <w:rPr>
          <w:u w:val="single"/>
          <w:vertAlign w:val="superscript"/>
        </w:rPr>
        <w:t>o</w:t>
      </w:r>
      <w:r>
        <w:t> de junho de 2016;</w:t>
      </w:r>
    </w:p>
    <w:p w:rsidR="00147553" w:rsidRDefault="00147553" w:rsidP="00147553">
      <w:pPr>
        <w:ind w:left="1440"/>
        <w:jc w:val="both"/>
      </w:pPr>
      <w:r>
        <w:t>II - 104% (cento e quatro por cento), a partir de 1</w:t>
      </w:r>
      <w:r>
        <w:rPr>
          <w:u w:val="single"/>
          <w:vertAlign w:val="superscript"/>
        </w:rPr>
        <w:t>o</w:t>
      </w:r>
      <w:r>
        <w:t> de julho de 2016;</w:t>
      </w:r>
    </w:p>
    <w:p w:rsidR="00147553" w:rsidRDefault="00147553" w:rsidP="00147553">
      <w:pPr>
        <w:ind w:left="1440"/>
        <w:jc w:val="both"/>
      </w:pPr>
      <w:r>
        <w:t>III - 108% (cento e oito por cento), a partir de 1</w:t>
      </w:r>
      <w:r>
        <w:rPr>
          <w:u w:val="single"/>
          <w:vertAlign w:val="superscript"/>
        </w:rPr>
        <w:t>o</w:t>
      </w:r>
      <w:r>
        <w:t> de novembro de 2016;</w:t>
      </w:r>
    </w:p>
    <w:p w:rsidR="00147553" w:rsidRDefault="00147553" w:rsidP="00147553">
      <w:pPr>
        <w:ind w:left="1440"/>
        <w:jc w:val="both"/>
      </w:pPr>
      <w:r>
        <w:t>IV - 113% (cento e treze por cento), a partir de 1° de junho de 2017;</w:t>
      </w:r>
    </w:p>
    <w:p w:rsidR="00147553" w:rsidRDefault="00147553" w:rsidP="00147553">
      <w:pPr>
        <w:ind w:left="1440"/>
        <w:jc w:val="both"/>
      </w:pPr>
      <w:r>
        <w:t>V - 122% (cento e vinte e dois por cento), a partir de 1</w:t>
      </w:r>
      <w:r>
        <w:rPr>
          <w:u w:val="single"/>
          <w:vertAlign w:val="superscript"/>
        </w:rPr>
        <w:t>o</w:t>
      </w:r>
      <w:r>
        <w:t> de novembro de 2017;</w:t>
      </w:r>
    </w:p>
    <w:p w:rsidR="00147553" w:rsidRDefault="00147553" w:rsidP="00147553">
      <w:pPr>
        <w:ind w:left="1440"/>
        <w:jc w:val="both"/>
      </w:pPr>
      <w:r>
        <w:t>VI - 125% (cento e vinte e cinco por cento), a partir de 1</w:t>
      </w:r>
      <w:r>
        <w:rPr>
          <w:u w:val="single"/>
          <w:vertAlign w:val="superscript"/>
        </w:rPr>
        <w:t>o</w:t>
      </w:r>
      <w:r>
        <w:t> de junho de 2018;</w:t>
      </w:r>
    </w:p>
    <w:p w:rsidR="00147553" w:rsidRDefault="00147553" w:rsidP="00147553">
      <w:pPr>
        <w:ind w:left="1440"/>
        <w:jc w:val="both"/>
      </w:pPr>
      <w:r>
        <w:t>VII - 130% (cento e trinta por cento), a partir de 1</w:t>
      </w:r>
      <w:r>
        <w:rPr>
          <w:u w:val="single"/>
          <w:vertAlign w:val="superscript"/>
        </w:rPr>
        <w:t>o</w:t>
      </w:r>
      <w:r>
        <w:t> de novembro de 2018;</w:t>
      </w:r>
    </w:p>
    <w:p w:rsidR="00147553" w:rsidRDefault="00147553" w:rsidP="00147553">
      <w:pPr>
        <w:ind w:left="1440"/>
        <w:jc w:val="both"/>
      </w:pPr>
      <w:r>
        <w:t>VIII - integralmente, a partir de 1</w:t>
      </w:r>
      <w:r>
        <w:rPr>
          <w:u w:val="single"/>
          <w:vertAlign w:val="superscript"/>
        </w:rPr>
        <w:t>o</w:t>
      </w:r>
      <w:r>
        <w:t> de janeiro de 2019.</w:t>
      </w: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Ou seja,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da mesma forma que o reajuste dos vencimentos,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os efeitos financeiros do reajuste da GAJ se iniciam a partir de 1º de junhode 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, com o acréscimo de 7%, e se aperfeiçoam em 1º de janeiro de 2019finalmente concedendo a totalidade dos 50% de acréscimo à Gratificação deAtividade Judiciária que antes era de apenas 90%.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Assim, conclui-se que a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remuneração dos servidores foi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reajustada pela lei</w:t>
      </w:r>
      <w:r>
        <w:rPr>
          <w:rFonts w:ascii="AGaramondPro-Regular" w:hAnsi="AGaramondPro-Regular" w:hint="eastAsia"/>
          <w:color w:val="222222"/>
          <w:sz w:val="28"/>
          <w:szCs w:val="28"/>
        </w:rPr>
        <w:t>, através do reajuste de seus vencimentos e do reajuste da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GAJ, rubricas a serem reajustadas em parcelas sucessivas e em datas específicas,sendo que a primeira data programada é, impreterivelmente, o dia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1ºdejunho de 2016</w:t>
      </w: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. Desta forma, da publicação da lei (em 21 de julho de </w:t>
      </w:r>
      <w:r>
        <w:rPr>
          <w:rFonts w:ascii="AGaramondPro-Regular" w:hAnsi="AGaramondPro-Regular" w:hint="eastAsia"/>
          <w:color w:val="222222"/>
          <w:sz w:val="28"/>
          <w:szCs w:val="28"/>
        </w:rPr>
        <w:lastRenderedPageBreak/>
        <w:t>2016</w:t>
      </w:r>
      <w:proofErr w:type="gramStart"/>
      <w:r>
        <w:rPr>
          <w:rFonts w:ascii="AGaramondPro-Regular" w:hAnsi="AGaramondPro-Regular" w:hint="eastAsia"/>
          <w:color w:val="222222"/>
          <w:sz w:val="28"/>
          <w:szCs w:val="28"/>
        </w:rPr>
        <w:t>),</w:t>
      </w:r>
      <w:proofErr w:type="gramEnd"/>
      <w:r>
        <w:rPr>
          <w:rFonts w:ascii="AGaramondPro-Regular" w:hAnsi="AGaramondPro-Regular" w:hint="eastAsia"/>
          <w:color w:val="222222"/>
          <w:sz w:val="28"/>
          <w:szCs w:val="28"/>
        </w:rPr>
        <w:t>os servidores já fazem jus à uma parcela retroativa (a de junho, correspondentea 1,5% do vencimento e 7% da GAJ, com seus devidos reflexos).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Da mesma forma, a remuneração de julho deve ser paga,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integralmente, com todos os devidos reajustes, ou seja, acrescida de 3% do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vencimento, 14% da GAJ e reflexos (gratificações, adicionais e demais verbas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que são influenciadas pelos valores que foram reajustados pela Lei nº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13.317/2016, que devem ser incrementados desde o início de seus efeitos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financeiros, ou seja, desde 1º de junho de 2016).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Apesar de o texto da Lei </w:t>
      </w:r>
      <w:r>
        <w:rPr>
          <w:rFonts w:ascii="AGaramondPro-Bold" w:hAnsi="AGaramondPro-Bold"/>
          <w:b/>
          <w:bCs/>
          <w:color w:val="222222"/>
          <w:sz w:val="28"/>
          <w:szCs w:val="28"/>
        </w:rPr>
        <w:t xml:space="preserve">nº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13.317/2016 não deixar dúvidas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/>
          <w:b/>
          <w:bCs/>
          <w:color w:val="222222"/>
          <w:sz w:val="28"/>
          <w:szCs w:val="28"/>
        </w:rPr>
        <w:t>em relação ao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 cronograma do reajuste</w:t>
      </w:r>
      <w:r>
        <w:rPr>
          <w:rFonts w:ascii="AGaramondPro-Regular" w:hAnsi="AGaramondPro-Regular" w:hint="eastAsia"/>
          <w:color w:val="222222"/>
          <w:sz w:val="28"/>
          <w:szCs w:val="28"/>
        </w:rPr>
        <w:t>, ocorre que, em 21 de julho de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2016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, a Portaria Conjunta nº 1 </w:t>
      </w:r>
      <w:r>
        <w:rPr>
          <w:rFonts w:ascii="AGaramondPro-Regular" w:hAnsi="AGaramondPro-Regular" w:hint="eastAsia"/>
          <w:color w:val="222222"/>
          <w:sz w:val="28"/>
          <w:szCs w:val="28"/>
        </w:rPr>
        <w:t>(publicada no DOU em de 25/07/2016) do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Supremo Tribunal Federal, que regulamenta a aplicação da Lei nº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13.317/2016,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determinou em seu art. 1º que a mencionada Lei só surtiria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efeitos a partir do dia 21 de julho de 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:</w:t>
      </w:r>
    </w:p>
    <w:p w:rsidR="00147553" w:rsidRDefault="00147553" w:rsidP="00147553">
      <w:pPr>
        <w:ind w:left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br/>
      </w:r>
      <w:r>
        <w:rPr>
          <w:rFonts w:hint="eastAsia"/>
          <w:color w:val="000000"/>
          <w:szCs w:val="28"/>
        </w:rPr>
        <w:t>Art. 1º - Os efeitos financeiros decorrentes do dispostono inciso II do artigo 2º, inciso II do § 1º do artigo 3º,no art. 4º, no artigo 5º, e nos Anexos II e III da Lei nº13.317/2016, de 20 de julho de 2016, ocorrerão apartir do dia 21 de julho de 2016.</w:t>
      </w: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br/>
        <w:t>Art. 2º - Esta Portaria entra em vigor na data de suapublicação</w:t>
      </w:r>
      <w:r>
        <w:rPr>
          <w:color w:val="000000"/>
          <w:szCs w:val="28"/>
        </w:rPr>
        <w:t>.</w:t>
      </w:r>
    </w:p>
    <w:p w:rsidR="00147553" w:rsidRDefault="00147553" w:rsidP="00147553">
      <w:pPr>
        <w:ind w:firstLine="1440"/>
        <w:jc w:val="both"/>
        <w:rPr>
          <w:color w:val="000000"/>
          <w:szCs w:val="28"/>
        </w:rPr>
      </w:pPr>
    </w:p>
    <w:p w:rsidR="00147553" w:rsidRDefault="00147553" w:rsidP="00147553">
      <w:pPr>
        <w:ind w:firstLine="1440"/>
        <w:jc w:val="both"/>
        <w:rPr>
          <w:color w:val="000000"/>
          <w:szCs w:val="28"/>
        </w:rPr>
      </w:pPr>
    </w:p>
    <w:p w:rsidR="00147553" w:rsidRDefault="00147553" w:rsidP="00147553">
      <w:pPr>
        <w:ind w:firstLine="144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Note-se, portanto que a PORTARIA busca alterar</w:t>
      </w:r>
      <w:r>
        <w:rPr>
          <w:rFonts w:hint="eastAsia"/>
          <w:color w:val="222222"/>
          <w:sz w:val="28"/>
          <w:szCs w:val="28"/>
        </w:rPr>
        <w:br/>
        <w:t xml:space="preserve">dispositivo </w:t>
      </w:r>
      <w:r>
        <w:rPr>
          <w:color w:val="222222"/>
          <w:sz w:val="28"/>
          <w:szCs w:val="28"/>
        </w:rPr>
        <w:t>legal</w:t>
      </w:r>
      <w:r>
        <w:rPr>
          <w:rFonts w:hint="eastAsia"/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Logo</w:t>
      </w:r>
      <w:r>
        <w:rPr>
          <w:rFonts w:hint="eastAsia"/>
          <w:color w:val="222222"/>
          <w:sz w:val="28"/>
          <w:szCs w:val="28"/>
        </w:rPr>
        <w:t xml:space="preserve">, </w:t>
      </w:r>
      <w:r>
        <w:rPr>
          <w:rFonts w:hint="eastAsia"/>
          <w:b/>
          <w:bCs/>
          <w:color w:val="222222"/>
          <w:sz w:val="28"/>
          <w:szCs w:val="28"/>
        </w:rPr>
        <w:t>a mencionada portaria</w:t>
      </w:r>
      <w:r>
        <w:rPr>
          <w:rFonts w:hint="eastAsia"/>
          <w:color w:val="222222"/>
          <w:sz w:val="28"/>
          <w:szCs w:val="28"/>
        </w:rPr>
        <w:br/>
      </w:r>
      <w:r>
        <w:rPr>
          <w:rFonts w:hint="eastAsia"/>
          <w:b/>
          <w:bCs/>
          <w:color w:val="222222"/>
          <w:sz w:val="28"/>
          <w:szCs w:val="28"/>
        </w:rPr>
        <w:t>extrapolou os limites de sua discricionariedade, apresentando disposição</w:t>
      </w:r>
      <w:r>
        <w:rPr>
          <w:rFonts w:hint="eastAsia"/>
          <w:color w:val="222222"/>
          <w:sz w:val="28"/>
          <w:szCs w:val="28"/>
        </w:rPr>
        <w:br/>
      </w:r>
      <w:r>
        <w:rPr>
          <w:rFonts w:hint="eastAsia"/>
          <w:b/>
          <w:bCs/>
          <w:color w:val="222222"/>
          <w:sz w:val="28"/>
          <w:szCs w:val="28"/>
        </w:rPr>
        <w:t>flagrantemente ilegal</w:t>
      </w:r>
      <w:r>
        <w:rPr>
          <w:rFonts w:hint="eastAsia"/>
          <w:color w:val="222222"/>
          <w:sz w:val="28"/>
          <w:szCs w:val="28"/>
        </w:rPr>
        <w:t>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Ou seja,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enquanto a Lei nº 13.317/2016, estabeleceu os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reajustes </w:t>
      </w: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de 1,5% (um inteiro e cinco décimos por cento),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a partir de 1º de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junho de 2016 </w:t>
      </w: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e 3% (três por cento), a partir de 1º de julho de 2016, o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ato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regulamentar fixou os efeitos financeiros dos reajustes para data </w:t>
      </w:r>
      <w:proofErr w:type="gramStart"/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posterior</w:t>
      </w:r>
      <w:r>
        <w:rPr>
          <w:rFonts w:ascii="AGaramondPro-Regular" w:hAnsi="AGaramondPro-Regular" w:hint="eastAsia"/>
          <w:color w:val="222222"/>
          <w:sz w:val="28"/>
          <w:szCs w:val="28"/>
        </w:rPr>
        <w:t>,</w:t>
      </w:r>
      <w:proofErr w:type="gramEnd"/>
      <w:r>
        <w:rPr>
          <w:rFonts w:ascii="AGaramondPro-Regular" w:hAnsi="AGaramondPro-Regular" w:hint="eastAsia"/>
          <w:color w:val="222222"/>
          <w:sz w:val="28"/>
          <w:szCs w:val="28"/>
        </w:rPr>
        <w:t>ou seja, somente a partir de 21/07/2016.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Assim sendo, é notório que se fere o princípio da hierarquia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das normas, e da legalidade, vez que de um lado temos a Lei Federal nº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13.317/2016, e de outro lado temos a Portaria Conjunta nº 1, de hierarquia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inferior, alterando a primeira sob pretexto de regulamentação.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A respeito do tema, assim já se manifestou a magistrada da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11ªVara Federal de Curitiba, ao decidir questão paradigma nos autos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5046039-11.2016.4.04.7000:</w:t>
      </w:r>
    </w:p>
    <w:p w:rsidR="00147553" w:rsidRDefault="00147553" w:rsidP="00147553">
      <w:pPr>
        <w:ind w:left="1440"/>
        <w:jc w:val="both"/>
        <w:rPr>
          <w:rFonts w:ascii="AGaramondPro-Regular" w:hAnsi="AGaramondPro-Regular"/>
          <w:color w:val="222222"/>
        </w:rPr>
      </w:pPr>
    </w:p>
    <w:p w:rsidR="00147553" w:rsidRDefault="00147553" w:rsidP="00147553">
      <w:pPr>
        <w:ind w:left="1440"/>
        <w:jc w:val="both"/>
      </w:pPr>
      <w:r>
        <w:rPr>
          <w:rFonts w:ascii="AGaramondPro-Regular" w:hAnsi="AGaramondPro-Regular" w:hint="eastAsia"/>
          <w:color w:val="222222"/>
        </w:rPr>
        <w:br/>
      </w:r>
      <w:r>
        <w:rPr>
          <w:rFonts w:hint="eastAsia"/>
        </w:rPr>
        <w:t>De um lado, a Lei nº 13.317/2016 estabelece as</w:t>
      </w:r>
      <w:r>
        <w:rPr>
          <w:rFonts w:hint="eastAsia"/>
        </w:rPr>
        <w:br/>
        <w:t xml:space="preserve">datas de </w:t>
      </w:r>
      <w:proofErr w:type="gramStart"/>
      <w:r>
        <w:rPr>
          <w:rFonts w:hint="eastAsia"/>
        </w:rPr>
        <w:t>implementação</w:t>
      </w:r>
      <w:proofErr w:type="gramEnd"/>
      <w:r>
        <w:rPr>
          <w:rFonts w:hint="eastAsia"/>
        </w:rPr>
        <w:t xml:space="preserve"> do reajuste. De outro, a Portaria</w:t>
      </w:r>
      <w:r>
        <w:rPr>
          <w:rFonts w:hint="eastAsia"/>
        </w:rPr>
        <w:br/>
        <w:t>Conjunta do STF, de hierarquia inferior, a qual buscou</w:t>
      </w:r>
      <w:r>
        <w:rPr>
          <w:rFonts w:hint="eastAsia"/>
        </w:rPr>
        <w:br/>
        <w:t>regulamentar a lei anteriormente citada, fixando que os</w:t>
      </w:r>
      <w:r>
        <w:rPr>
          <w:rFonts w:hint="eastAsia"/>
        </w:rPr>
        <w:br/>
        <w:t>efeitos ocorrerão somente a partir de sua publicação, ou</w:t>
      </w:r>
      <w:r>
        <w:rPr>
          <w:rFonts w:hint="eastAsia"/>
        </w:rPr>
        <w:br/>
        <w:t xml:space="preserve">seja, julho de 2016. </w:t>
      </w:r>
      <w:r>
        <w:rPr>
          <w:rFonts w:hint="eastAsia"/>
          <w:b/>
          <w:bCs/>
        </w:rPr>
        <w:t>Pelo princípio da hierarquia de</w:t>
      </w:r>
      <w:r>
        <w:rPr>
          <w:rFonts w:hint="eastAsia"/>
        </w:rPr>
        <w:br/>
      </w:r>
      <w:r>
        <w:rPr>
          <w:rFonts w:hint="eastAsia"/>
          <w:b/>
          <w:bCs/>
        </w:rPr>
        <w:t>normas e da legalidade, a Administração Pública se</w:t>
      </w:r>
      <w:r>
        <w:rPr>
          <w:rFonts w:hint="eastAsia"/>
        </w:rPr>
        <w:br/>
      </w:r>
      <w:r>
        <w:rPr>
          <w:rFonts w:hint="eastAsia"/>
          <w:b/>
          <w:bCs/>
        </w:rPr>
        <w:t>encontra estritamente vinculada ao estabelecido pela</w:t>
      </w:r>
      <w:r>
        <w:rPr>
          <w:rFonts w:hint="eastAsia"/>
        </w:rPr>
        <w:br/>
      </w:r>
      <w:r>
        <w:rPr>
          <w:rFonts w:hint="eastAsia"/>
          <w:b/>
          <w:bCs/>
        </w:rPr>
        <w:t>Lei nº 13.317/2016, não havendo necessidade de</w:t>
      </w:r>
      <w:r>
        <w:rPr>
          <w:rFonts w:hint="eastAsia"/>
        </w:rPr>
        <w:br/>
      </w:r>
      <w:r>
        <w:rPr>
          <w:rFonts w:hint="eastAsia"/>
          <w:b/>
          <w:bCs/>
        </w:rPr>
        <w:t>outra norma para regulamentar sua aplicação</w:t>
      </w:r>
      <w:r>
        <w:rPr>
          <w:rFonts w:hint="eastAsia"/>
        </w:rPr>
        <w:t>.</w:t>
      </w:r>
      <w:r>
        <w:rPr>
          <w:rFonts w:hint="eastAsia"/>
        </w:rPr>
        <w:br/>
      </w:r>
      <w:r>
        <w:rPr>
          <w:rFonts w:hint="eastAsia"/>
          <w:b/>
          <w:bCs/>
        </w:rPr>
        <w:t>Dessa forma, a Portaria Conjunta n° 001/STF viola</w:t>
      </w:r>
      <w:r>
        <w:rPr>
          <w:rFonts w:hint="eastAsia"/>
        </w:rPr>
        <w:br/>
      </w:r>
      <w:r>
        <w:rPr>
          <w:rFonts w:hint="eastAsia"/>
          <w:b/>
          <w:bCs/>
        </w:rPr>
        <w:t>expressa previsão legal</w:t>
      </w:r>
      <w:r>
        <w:rPr>
          <w:rFonts w:hint="eastAsia"/>
        </w:rPr>
        <w:t>. Logo, sendo reconhecido o</w:t>
      </w:r>
      <w:r>
        <w:rPr>
          <w:rFonts w:hint="eastAsia"/>
        </w:rPr>
        <w:br/>
        <w:t>direito da autora aos pagamentos devidos, nos termos</w:t>
      </w:r>
      <w:r>
        <w:rPr>
          <w:rFonts w:hint="eastAsia"/>
        </w:rPr>
        <w:br/>
        <w:t>percentuais e cronológicos dos artigos 2° e 3° da Lei n°</w:t>
      </w:r>
      <w:r>
        <w:rPr>
          <w:rFonts w:hint="eastAsia"/>
        </w:rPr>
        <w:br/>
        <w:t>13.317/2016. Portanto, a procedência do pedido é media</w:t>
      </w:r>
      <w:r>
        <w:rPr>
          <w:rFonts w:hint="eastAsia"/>
        </w:rPr>
        <w:br/>
        <w:t>que se impõe ao caso. (Grifo nosso)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Dessa forma, é evidente que a parte autora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faz jus ao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reajuste de remuneração nos exatos termos da Lei nº 13.317/2016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Bold" w:hAnsi="AGaramondPro-Bold"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DA INAPLICABILIDADE DO ART. 98, § 2º, DA LEI 13.242/2015–LDO ANTE A PREVISÃO ESPECÍFICA DE DOTAÇÃO</w:t>
      </w:r>
      <w:r>
        <w:rPr>
          <w:rFonts w:ascii="AGaramondPro-Bold" w:hAnsi="AGaramondPro-Bold" w:hint="eastAsia"/>
          <w:color w:val="000000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ORÇAMENTÁRIA NA LEI 13.255/16 PARA AUMENTO DE</w:t>
      </w:r>
      <w:r>
        <w:rPr>
          <w:rFonts w:ascii="AGaramondPro-Bold" w:hAnsi="AGaramondPro-Bold" w:hint="eastAsia"/>
          <w:color w:val="000000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REMUNERAÇÃO DE SERVIDORES PREVISTA NA LEI 13.317/2016</w:t>
      </w:r>
      <w:r>
        <w:rPr>
          <w:rFonts w:ascii="AGaramondPro-Bold" w:hAnsi="AGaramondPro-Bold" w:hint="eastAsia"/>
          <w:color w:val="000000"/>
          <w:sz w:val="28"/>
          <w:szCs w:val="28"/>
        </w:rPr>
        <w:br/>
      </w:r>
    </w:p>
    <w:p w:rsidR="00147553" w:rsidRDefault="00147553" w:rsidP="00147553">
      <w:pPr>
        <w:ind w:firstLine="1440"/>
        <w:jc w:val="both"/>
        <w:rPr>
          <w:rFonts w:ascii="AGaramondPro-Bold" w:hAnsi="AGaramondPro-Bold"/>
          <w:b/>
          <w:bCs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O artigo 98, §2º, da Lei de Diretrizes Orçamentárias de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2016 – Lei </w:t>
      </w:r>
      <w:r>
        <w:rPr>
          <w:rFonts w:ascii="AGaramondPro-Regular" w:hAnsi="AGaramondPro-Regular"/>
          <w:color w:val="222222"/>
          <w:sz w:val="28"/>
          <w:szCs w:val="28"/>
        </w:rPr>
        <w:t xml:space="preserve">nº </w:t>
      </w:r>
      <w:r>
        <w:rPr>
          <w:rFonts w:ascii="AGaramondPro-Regular" w:hAnsi="AGaramondPro-Regular" w:hint="eastAsia"/>
          <w:color w:val="222222"/>
          <w:sz w:val="28"/>
          <w:szCs w:val="28"/>
        </w:rPr>
        <w:t>13.242/2015</w:t>
      </w:r>
      <w:proofErr w:type="gramStart"/>
      <w:r>
        <w:rPr>
          <w:rFonts w:ascii="AGaramondPro-Regular" w:hAnsi="AGaramondPro-Regular" w:hint="eastAsia"/>
          <w:color w:val="222222"/>
          <w:sz w:val="28"/>
          <w:szCs w:val="28"/>
        </w:rPr>
        <w:t>, veda</w:t>
      </w:r>
      <w:proofErr w:type="gram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a realização de despesa sem prévia dotação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orçamentária, o que, todavia,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não é o caso dos servidores do Judiciário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Federal.</w:t>
      </w:r>
    </w:p>
    <w:p w:rsidR="00147553" w:rsidRDefault="00147553" w:rsidP="00147553">
      <w:pPr>
        <w:ind w:firstLine="1440"/>
        <w:jc w:val="both"/>
        <w:rPr>
          <w:rFonts w:ascii="AGaramondPro-Bold" w:hAnsi="AGaramondPro-Bold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O art. 7º da Lei nº 13.317/2016 dispõe que “</w:t>
      </w:r>
      <w:r>
        <w:rPr>
          <w:rFonts w:ascii="AGaramondPro-Italic" w:hAnsi="AGaramondPro-Italic" w:hint="eastAsia"/>
          <w:i/>
          <w:iCs/>
          <w:color w:val="000000"/>
          <w:sz w:val="28"/>
          <w:szCs w:val="28"/>
        </w:rPr>
        <w:t>as despesas</w:t>
      </w:r>
      <w:r>
        <w:rPr>
          <w:rFonts w:ascii="AGaramondPro-Italic" w:hAnsi="AGaramondPro-Italic" w:hint="eastAsia"/>
          <w:color w:val="000000"/>
          <w:sz w:val="28"/>
          <w:szCs w:val="28"/>
        </w:rPr>
        <w:br/>
      </w:r>
      <w:r>
        <w:rPr>
          <w:rFonts w:ascii="AGaramondPro-Italic" w:hAnsi="AGaramondPro-Italic" w:hint="eastAsia"/>
          <w:i/>
          <w:iCs/>
          <w:color w:val="000000"/>
          <w:sz w:val="28"/>
          <w:szCs w:val="28"/>
        </w:rPr>
        <w:t>resultantes da execução desta Lei correm à conta das dotações consignadas aosórgãos do Poder Judiciário no orçamento geral da União</w:t>
      </w:r>
      <w:r>
        <w:rPr>
          <w:rFonts w:ascii="AGaramondPro-Regular" w:hAnsi="AGaramondPro-Regular" w:hint="eastAsia"/>
          <w:color w:val="000000"/>
          <w:sz w:val="28"/>
          <w:szCs w:val="28"/>
        </w:rPr>
        <w:t>”.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É importante salientar que,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conforme previsão da Lei nº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13.255/2016 (LOA), há dotação orçamentária para concessão do reajuste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lastRenderedPageBreak/>
        <w:t>retrocedendo até o mês de janeiro de 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. Esta previsão está detalhada no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anexo V, que trata especificamente das despesas de pessoal e encargos sociais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para os órgãos do Legislativo, Executivo e Judiciário.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A corroborar com o exposto, o Anexo V da Lei 13.255/2016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traz no item “</w:t>
      </w:r>
      <w:r>
        <w:rPr>
          <w:rFonts w:ascii="AGaramondPro-Italic" w:hAnsi="AGaramondPro-Italic" w:hint="eastAsia"/>
          <w:i/>
          <w:iCs/>
          <w:color w:val="222222"/>
          <w:sz w:val="28"/>
          <w:szCs w:val="28"/>
        </w:rPr>
        <w:t>ALTERAÇÃO DE ESTRUTURA DE CARREIRAS E</w:t>
      </w:r>
      <w:r>
        <w:rPr>
          <w:rFonts w:ascii="AGaramondPro-Italic" w:hAnsi="AGaramondPro-Italic" w:hint="eastAsia"/>
          <w:color w:val="222222"/>
          <w:sz w:val="28"/>
          <w:szCs w:val="28"/>
        </w:rPr>
        <w:br/>
      </w:r>
      <w:r>
        <w:rPr>
          <w:rFonts w:ascii="AGaramondPro-Italic" w:hAnsi="AGaramondPro-Italic" w:hint="eastAsia"/>
          <w:i/>
          <w:iCs/>
          <w:color w:val="222222"/>
          <w:sz w:val="28"/>
          <w:szCs w:val="28"/>
        </w:rPr>
        <w:t>AUMENTO DE REMUNERAÇÃO</w:t>
      </w:r>
      <w:r>
        <w:rPr>
          <w:rFonts w:ascii="AGaramondPro-Regular" w:hAnsi="AGaramondPro-Regular" w:hint="eastAsia"/>
          <w:color w:val="222222"/>
          <w:sz w:val="28"/>
          <w:szCs w:val="28"/>
        </w:rPr>
        <w:t>”, no que se refere ao Poder Judiciário,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expressamente, a dotação para cumprimento do PL nº 2.648 de 2015, no item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2.2 -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 xml:space="preserve">Plano de Carreiras dos Servidores do Poder Judiciário </w:t>
      </w:r>
      <w:r>
        <w:rPr>
          <w:rFonts w:ascii="AGaramondPro-Regular" w:hAnsi="AGaramondPro-Regular" w:hint="eastAsia"/>
          <w:color w:val="222222"/>
          <w:sz w:val="28"/>
          <w:szCs w:val="28"/>
        </w:rPr>
        <w:t>- que originou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a Lei nº 13.317/2016,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a partir de janeiro de 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:</w:t>
      </w:r>
    </w:p>
    <w:p w:rsidR="00147553" w:rsidRDefault="00147553" w:rsidP="00147553">
      <w:pPr>
        <w:ind w:left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br/>
      </w:r>
      <w:r>
        <w:rPr>
          <w:rFonts w:hint="eastAsia"/>
          <w:color w:val="000000"/>
          <w:szCs w:val="28"/>
        </w:rPr>
        <w:t xml:space="preserve">2.2.1. Reajuste do Vencimento Básico em 12% e aumento do percentual da Gratificação Judiciária GAJ, de 90% para 140%, a ser </w:t>
      </w:r>
      <w:proofErr w:type="gramStart"/>
      <w:r>
        <w:rPr>
          <w:rFonts w:hint="eastAsia"/>
          <w:color w:val="000000"/>
          <w:szCs w:val="28"/>
        </w:rPr>
        <w:t>implementado</w:t>
      </w:r>
      <w:proofErr w:type="gramEnd"/>
      <w:r>
        <w:rPr>
          <w:rFonts w:hint="eastAsia"/>
          <w:color w:val="000000"/>
          <w:szCs w:val="28"/>
        </w:rPr>
        <w:t xml:space="preserve"> em quatro anos (</w:t>
      </w:r>
      <w:r>
        <w:rPr>
          <w:rFonts w:hint="eastAsia"/>
          <w:b/>
          <w:bCs/>
          <w:color w:val="000000"/>
          <w:szCs w:val="28"/>
        </w:rPr>
        <w:t xml:space="preserve">2016 </w:t>
      </w:r>
      <w:r>
        <w:rPr>
          <w:rFonts w:hint="eastAsia"/>
          <w:color w:val="000000"/>
          <w:szCs w:val="28"/>
        </w:rPr>
        <w:t>a 2019), em oito parcelas</w:t>
      </w:r>
      <w:r>
        <w:rPr>
          <w:rFonts w:hint="eastAsia"/>
          <w:b/>
          <w:bCs/>
          <w:color w:val="000000"/>
          <w:szCs w:val="28"/>
        </w:rPr>
        <w:t xml:space="preserve">, a ocorrerem a partir de 1º de janeiro </w:t>
      </w:r>
      <w:r>
        <w:rPr>
          <w:rFonts w:hint="eastAsia"/>
          <w:color w:val="000000"/>
          <w:szCs w:val="28"/>
        </w:rPr>
        <w:t>e 1º de julho de cada exercício.</w:t>
      </w: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2.2.2. Reajuste dos cargos em comissão CJ-2 a CJ-4 em 25% e CJ-1 em 16%</w:t>
      </w: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2.2.3. Extensão do Adicional de Qualificação aos Técnicos Judiciários portadores de diploma de curso superior</w:t>
      </w:r>
    </w:p>
    <w:p w:rsidR="00147553" w:rsidRDefault="00147553" w:rsidP="00147553">
      <w:pPr>
        <w:ind w:left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hint="eastAsia"/>
          <w:color w:val="000000"/>
          <w:szCs w:val="28"/>
        </w:rPr>
        <w:br/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Desta forma, conforme observado nos itens acima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transcritos, 2.2.1, 2.2.2 e 2.2.3, é nítido que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o orçamento já está reservado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para o pagamento do reajuste aos servidores desde o mês de janeiro de</w:t>
      </w:r>
      <w:r>
        <w:rPr>
          <w:rFonts w:ascii="AGaramondPro-Bold" w:hAnsi="AGaramondPro-Bold" w:hint="eastAsia"/>
          <w:color w:val="222222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, havendo, portanto, dotação orçamentária na LOA.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A portaria conjunta nº 1 referencia o art. 98, § 2º da Lei nº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13.242/2015 como um dos fundamentos de sua confecção, no entanto tal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legislação NÃO é aplicável ao reajuste concedido pela </w:t>
      </w:r>
      <w:r>
        <w:rPr>
          <w:rFonts w:ascii="AGaramondPro-Bold" w:hAnsi="AGaramondPro-Bold" w:hint="eastAsia"/>
          <w:b/>
          <w:bCs/>
          <w:color w:val="222222"/>
          <w:sz w:val="28"/>
          <w:szCs w:val="28"/>
        </w:rPr>
        <w:t>Lei nº 13.317/2016</w:t>
      </w:r>
      <w:r>
        <w:rPr>
          <w:rFonts w:ascii="AGaramondPro-Regular" w:hAnsi="AGaramondPro-Regular" w:hint="eastAsia"/>
          <w:color w:val="222222"/>
          <w:sz w:val="28"/>
          <w:szCs w:val="28"/>
        </w:rPr>
        <w:t>,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que 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seguiu o procedimento democrático de legislatura e </w:t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foi aprovada com a</w:t>
      </w:r>
      <w:r>
        <w:rPr>
          <w:rFonts w:ascii="AGaramondPro-Bold" w:hAnsi="AGaramondPro-Bold" w:hint="eastAsia"/>
          <w:color w:val="000000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devida dotação orçamentária viabilizada pela Lei nº 13.255/2016</w:t>
      </w:r>
      <w:r>
        <w:rPr>
          <w:rFonts w:ascii="AGaramondPro-Regular" w:hAnsi="AGaramondPro-Regular" w:hint="eastAsia"/>
          <w:color w:val="000000"/>
          <w:sz w:val="28"/>
          <w:szCs w:val="28"/>
        </w:rPr>
        <w:t>, que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previu, em seu anexo V, a concessão de reajuste desde o mês de janeiro de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2016, para que produzisse efeitos de maneira imediata, não cabendo à portaria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administrativa limitar a eficácia dos efeitos financeiros de Lei Federal.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Ademais, ressalte-se </w:t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que a disposição da Lei nº</w:t>
      </w:r>
      <w:r>
        <w:rPr>
          <w:rFonts w:ascii="AGaramondPro-Bold" w:hAnsi="AGaramondPro-Bold" w:hint="eastAsia"/>
          <w:color w:val="000000"/>
          <w:sz w:val="28"/>
          <w:szCs w:val="28"/>
        </w:rPr>
        <w:br/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 xml:space="preserve">13.242/2015 é aplicável apenas em casos em que há omissão </w:t>
      </w:r>
      <w:r>
        <w:rPr>
          <w:rFonts w:ascii="AGaramondPro-Regular" w:hAnsi="AGaramondPro-Regular" w:hint="eastAsia"/>
          <w:color w:val="000000"/>
          <w:sz w:val="28"/>
          <w:szCs w:val="28"/>
        </w:rPr>
        <w:t>da Legislação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ou em casos em que não há dotação específica na Lei de Orçamento Anual, o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 xml:space="preserve">que, </w:t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no caso em tela, não ocorre</w:t>
      </w:r>
      <w:r>
        <w:rPr>
          <w:rFonts w:ascii="AGaramondPro-Regular" w:hAnsi="AGaramondPro-Regular" w:hint="eastAsia"/>
          <w:color w:val="000000"/>
          <w:sz w:val="28"/>
          <w:szCs w:val="28"/>
        </w:rPr>
        <w:t>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lastRenderedPageBreak/>
        <w:t xml:space="preserve">Neste sentido, esposou entendimento a </w:t>
      </w:r>
      <w:proofErr w:type="spellStart"/>
      <w:r>
        <w:rPr>
          <w:rFonts w:ascii="AGaramondPro-Regular" w:hAnsi="AGaramondPro-Regular" w:hint="eastAsia"/>
          <w:color w:val="222222"/>
          <w:sz w:val="28"/>
          <w:szCs w:val="28"/>
        </w:rPr>
        <w:t>ExmªJuiza</w:t>
      </w:r>
      <w:proofErr w:type="spell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Federal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</w:r>
      <w:proofErr w:type="spellStart"/>
      <w:r>
        <w:rPr>
          <w:rFonts w:ascii="AGaramondPro-Regular" w:hAnsi="AGaramondPro-Regular" w:hint="eastAsia"/>
          <w:color w:val="222222"/>
          <w:sz w:val="28"/>
          <w:szCs w:val="28"/>
        </w:rPr>
        <w:t>Drª</w:t>
      </w:r>
      <w:proofErr w:type="spell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. </w:t>
      </w:r>
      <w:proofErr w:type="spellStart"/>
      <w:r>
        <w:rPr>
          <w:rFonts w:ascii="AGaramondPro-Regular" w:hAnsi="AGaramondPro-Regular" w:hint="eastAsia"/>
          <w:color w:val="222222"/>
          <w:sz w:val="28"/>
          <w:szCs w:val="28"/>
        </w:rPr>
        <w:t>Marcia</w:t>
      </w:r>
      <w:proofErr w:type="spell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</w:t>
      </w:r>
      <w:proofErr w:type="spellStart"/>
      <w:r>
        <w:rPr>
          <w:rFonts w:ascii="AGaramondPro-Regular" w:hAnsi="AGaramondPro-Regular" w:hint="eastAsia"/>
          <w:color w:val="222222"/>
          <w:sz w:val="28"/>
          <w:szCs w:val="28"/>
        </w:rPr>
        <w:t>Vogel</w:t>
      </w:r>
      <w:proofErr w:type="spellEnd"/>
      <w:r>
        <w:rPr>
          <w:rFonts w:ascii="AGaramondPro-Regular" w:hAnsi="AGaramondPro-Regular" w:hint="eastAsia"/>
          <w:color w:val="222222"/>
          <w:sz w:val="28"/>
          <w:szCs w:val="28"/>
        </w:rPr>
        <w:t xml:space="preserve"> Vidal de Oliveira, ao proferir o Voto na 1ª Turma Recursal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 xml:space="preserve">do Paraná, o qual acompanhou o Exmo Juiz Federal Dr. Nicolau </w:t>
      </w:r>
      <w:proofErr w:type="spellStart"/>
      <w:r>
        <w:rPr>
          <w:rFonts w:ascii="AGaramondPro-Regular" w:hAnsi="AGaramondPro-Regular" w:hint="eastAsia"/>
          <w:color w:val="222222"/>
          <w:sz w:val="28"/>
          <w:szCs w:val="28"/>
        </w:rPr>
        <w:t>Konkel</w:t>
      </w:r>
      <w:proofErr w:type="spellEnd"/>
      <w:r>
        <w:rPr>
          <w:rFonts w:ascii="AGaramondPro-Regular" w:hAnsi="AGaramondPro-Regular" w:hint="eastAsia"/>
          <w:color w:val="222222"/>
          <w:sz w:val="28"/>
          <w:szCs w:val="28"/>
        </w:rPr>
        <w:br/>
        <w:t>Junior, ao apreciar os autos nº 5046039-11.2016.4.04.7000: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left="1440" w:right="29"/>
        <w:jc w:val="both"/>
        <w:rPr>
          <w:rFonts w:eastAsia="Arial Unicode MS"/>
          <w:color w:val="000000"/>
          <w:szCs w:val="26"/>
        </w:rPr>
      </w:pPr>
      <w:r>
        <w:rPr>
          <w:color w:val="000000"/>
          <w:szCs w:val="26"/>
        </w:rPr>
        <w:t>Como se vê, a despesa referente ao reajuste da Gratificação Judiciária - GAJ determinado pela Lei nº 13.317/2016 estava prevista na Lei Orçamentária Anual de 2016 já a partir de 1º de janeiro de 2016, respeitando-se o disposto no art. 99 da LDO e no art. 169, § 1º, II, da própria Constituição Federal.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 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Logo, não há como aplicar o art. 98, §2º, da LDO-2016 no caso. Entendimento em contrário invalidaria em parte o art. 99 da mesma LDO, bem como o anexo V da Lei nº 13.255/16, no que se refere ao reajuste dos servidores do Judiciário, ainda que sejam normas de mesma hierarquia.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 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Deve-se, sim, adotar uma interpretação sistemática da LDO-2016, que confira ampla eficácia aos seus dispositivos, em harmonia com o disposto na Lei Orçamentária Anual e com a Constituição Federal, observando-se também o critério da especificidade.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 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Pode-se afirmar que o anexo V da Lei nº 13.255/16, justamente por conter a </w:t>
      </w:r>
      <w:r>
        <w:rPr>
          <w:i/>
          <w:iCs/>
          <w:color w:val="000000"/>
          <w:szCs w:val="26"/>
        </w:rPr>
        <w:t>'autorização específica'</w:t>
      </w:r>
      <w:r>
        <w:rPr>
          <w:color w:val="000000"/>
          <w:szCs w:val="26"/>
        </w:rPr>
        <w:t> para o reajuste dos servidores do Judiciário, expressamente mencionada pelo art. 169, § 1º, II, da Constituição Federal, deve prevalecer no caso em detrimento do art. 98, §2º, da LDO-2016, que traz tão somente uma </w:t>
      </w:r>
      <w:r>
        <w:rPr>
          <w:i/>
          <w:iCs/>
          <w:color w:val="000000"/>
          <w:szCs w:val="26"/>
        </w:rPr>
        <w:t>'vedação genérica'</w:t>
      </w:r>
      <w:r>
        <w:rPr>
          <w:color w:val="000000"/>
          <w:szCs w:val="26"/>
        </w:rPr>
        <w:t>, já que não faz distinção ao grupo de servidores que não teriam direito ao aumento de forma retroativa.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 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Assim, excepcionando-se a regra geral do art. 98, §2º, da LDO-2016, deve ser aplicado no caso o art. 99 da LDO-2016, c/c o anexo V da Lei nº 13.255/16, em consonância com o art. 169, §1º, II, da Constituição Federal, para o reajuste da remuneração dos servidores públicos do Judiciário Federal.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> </w:t>
      </w:r>
    </w:p>
    <w:p w:rsidR="00147553" w:rsidRDefault="00147553" w:rsidP="00147553">
      <w:pPr>
        <w:ind w:left="1440" w:right="2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Ou seja, </w:t>
      </w:r>
      <w:r>
        <w:rPr>
          <w:b/>
          <w:bCs/>
          <w:color w:val="000000"/>
          <w:szCs w:val="26"/>
        </w:rPr>
        <w:t xml:space="preserve">estando </w:t>
      </w:r>
      <w:proofErr w:type="gramStart"/>
      <w:r>
        <w:rPr>
          <w:b/>
          <w:bCs/>
          <w:color w:val="000000"/>
          <w:szCs w:val="26"/>
        </w:rPr>
        <w:t>as</w:t>
      </w:r>
      <w:proofErr w:type="gramEnd"/>
      <w:r>
        <w:rPr>
          <w:b/>
          <w:bCs/>
          <w:color w:val="000000"/>
          <w:szCs w:val="26"/>
        </w:rPr>
        <w:t xml:space="preserve"> despesas previstas nos </w:t>
      </w:r>
      <w:proofErr w:type="spellStart"/>
      <w:r>
        <w:rPr>
          <w:b/>
          <w:bCs/>
          <w:color w:val="000000"/>
          <w:szCs w:val="26"/>
        </w:rPr>
        <w:t>arts</w:t>
      </w:r>
      <w:proofErr w:type="spellEnd"/>
      <w:r>
        <w:rPr>
          <w:b/>
          <w:bCs/>
          <w:color w:val="000000"/>
          <w:szCs w:val="26"/>
        </w:rPr>
        <w:t>. 2º e 3º da Lei nº 13.317/2016 efetivamente amparadas pelos dispositivos acima referidos, é de se reconhecer que a Portaria Conjunta n° 001/STF, de 21 de julho de 2016 desborda dos limites estabelecidos pela Lei nº 13.317/2016</w:t>
      </w:r>
      <w:r>
        <w:rPr>
          <w:color w:val="000000"/>
          <w:szCs w:val="26"/>
        </w:rPr>
        <w:t>, devendo, dessa forma, ser mantida a sentença. (Grifo nosso)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>No mesmo sentido, é o entendimento da Juíza Titular do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2ºJuizado Especial de Vitória/ES, em julgamento dos autos 0021882-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46.2016.4.02.5050, com tema idêntico, com decisão transitada em julgado em</w:t>
      </w:r>
      <w:r>
        <w:rPr>
          <w:rFonts w:ascii="AGaramondPro-Regular" w:hAnsi="AGaramondPro-Regular" w:hint="eastAsia"/>
          <w:color w:val="222222"/>
          <w:sz w:val="28"/>
          <w:szCs w:val="28"/>
        </w:rPr>
        <w:br/>
        <w:t>29/11/2016:</w:t>
      </w:r>
    </w:p>
    <w:p w:rsidR="00147553" w:rsidRDefault="00147553" w:rsidP="00147553">
      <w:pPr>
        <w:ind w:left="1440"/>
        <w:jc w:val="both"/>
        <w:rPr>
          <w:color w:val="000000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br/>
      </w:r>
      <w:r>
        <w:rPr>
          <w:rFonts w:hint="eastAsia"/>
          <w:color w:val="000000"/>
          <w:szCs w:val="28"/>
        </w:rPr>
        <w:t>Pelo exposto, JULGO PROCEDENTE o pedido, na</w:t>
      </w:r>
      <w:r>
        <w:rPr>
          <w:rFonts w:hint="eastAsia"/>
          <w:color w:val="000000"/>
          <w:szCs w:val="28"/>
        </w:rPr>
        <w:br/>
        <w:t>forma do art. 487, I do CPC, para condenar a ré no pagamento, à</w:t>
      </w:r>
      <w:r>
        <w:rPr>
          <w:rFonts w:hint="eastAsia"/>
          <w:color w:val="000000"/>
          <w:szCs w:val="28"/>
        </w:rPr>
        <w:br/>
        <w:t>parte autora, doreajuste integral em seus vencimentos, utilizando como</w:t>
      </w:r>
      <w:r>
        <w:rPr>
          <w:rFonts w:hint="eastAsia"/>
          <w:color w:val="000000"/>
          <w:szCs w:val="28"/>
        </w:rPr>
        <w:br/>
      </w:r>
      <w:r>
        <w:rPr>
          <w:rFonts w:hint="eastAsia"/>
          <w:color w:val="000000"/>
          <w:szCs w:val="28"/>
        </w:rPr>
        <w:lastRenderedPageBreak/>
        <w:t xml:space="preserve">parâmetro oscritérios percentuais e cronológicos dispostos nos </w:t>
      </w:r>
      <w:proofErr w:type="spellStart"/>
      <w:r>
        <w:rPr>
          <w:rFonts w:hint="eastAsia"/>
          <w:color w:val="000000"/>
          <w:szCs w:val="28"/>
        </w:rPr>
        <w:t>arts</w:t>
      </w:r>
      <w:proofErr w:type="spellEnd"/>
      <w:r>
        <w:rPr>
          <w:rFonts w:hint="eastAsia"/>
          <w:color w:val="000000"/>
          <w:szCs w:val="28"/>
        </w:rPr>
        <w:t>.</w:t>
      </w:r>
      <w:r>
        <w:rPr>
          <w:rFonts w:hint="eastAsia"/>
          <w:color w:val="000000"/>
          <w:szCs w:val="28"/>
        </w:rPr>
        <w:br/>
        <w:t>2º e 3º da Lei nº13.317/2016, nos exatos limites da lei em comento.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Portanto, </w:t>
      </w:r>
      <w:r>
        <w:rPr>
          <w:rFonts w:ascii="AGaramondPro-Regular" w:hAnsi="AGaramondPro-Regular"/>
          <w:color w:val="222222"/>
          <w:sz w:val="28"/>
          <w:szCs w:val="28"/>
        </w:rPr>
        <w:t xml:space="preserve">requer-se </w:t>
      </w:r>
      <w:r>
        <w:rPr>
          <w:rFonts w:ascii="AGaramondPro-Regular" w:hAnsi="AGaramondPro-Regular" w:hint="eastAsia"/>
          <w:color w:val="222222"/>
          <w:sz w:val="28"/>
          <w:szCs w:val="28"/>
        </w:rPr>
        <w:t>a procedência do pedido.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Bold" w:hAnsi="AGaramondPro-Bold"/>
          <w:b/>
          <w:bCs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DOS PEDIDOS</w:t>
      </w:r>
    </w:p>
    <w:p w:rsidR="00147553" w:rsidRDefault="00147553" w:rsidP="00147553">
      <w:pPr>
        <w:ind w:firstLine="1440"/>
        <w:jc w:val="both"/>
        <w:rPr>
          <w:rFonts w:ascii="AGaramondPro-Bold" w:hAnsi="AGaramondPro-Bold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Diante do exposto, vem respeitosamente a Vossa Excelência, </w:t>
      </w: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>REQUER</w:t>
      </w:r>
      <w:r>
        <w:rPr>
          <w:rFonts w:ascii="AGaramondPro-Regular" w:hAnsi="AGaramondPro-Regular" w:hint="eastAsia"/>
          <w:color w:val="000000"/>
          <w:sz w:val="28"/>
          <w:szCs w:val="28"/>
        </w:rPr>
        <w:t>: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 xml:space="preserve">a) 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a citação da ré, na pessoa de seu representante legal para, </w:t>
      </w:r>
      <w:proofErr w:type="gramStart"/>
      <w:r>
        <w:rPr>
          <w:rFonts w:ascii="AGaramondPro-Regular" w:hAnsi="AGaramondPro-Regular" w:hint="eastAsia"/>
          <w:color w:val="000000"/>
          <w:sz w:val="28"/>
          <w:szCs w:val="28"/>
        </w:rPr>
        <w:t>querendo,</w:t>
      </w:r>
      <w:proofErr w:type="gramEnd"/>
      <w:r>
        <w:rPr>
          <w:rFonts w:ascii="AGaramondPro-Regular" w:hAnsi="AGaramondPro-Regular" w:hint="eastAsia"/>
          <w:color w:val="000000"/>
          <w:sz w:val="28"/>
          <w:szCs w:val="28"/>
        </w:rPr>
        <w:t>apresentar defesa, sob pena de revelia;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 xml:space="preserve">b) </w:t>
      </w:r>
      <w:r>
        <w:rPr>
          <w:rFonts w:ascii="AGaramondPro-Regular" w:hAnsi="AGaramondPro-Regular" w:hint="eastAsia"/>
          <w:color w:val="000000"/>
          <w:sz w:val="28"/>
          <w:szCs w:val="28"/>
        </w:rPr>
        <w:t>seja a ré condenada ao pagamento integral do reajuste referente ao mês dejunho/2016 (correspondente a 1,5% do vencimento e 7% da GAJ, com seusdevidos reflexos), e ao pagamento remanescente do reajuste referente ao mês dejulho/2016 (correspondente a 3% do vencimento e 14% da GAJ, com seusdevidos reflexos), utilizando como critério o disposto no art. 2º e 3º da Lei13.317/</w:t>
      </w:r>
      <w:r>
        <w:rPr>
          <w:rFonts w:ascii="AGaramondPro-Regular" w:hAnsi="AGaramondPro-Regular"/>
          <w:color w:val="000000"/>
          <w:sz w:val="28"/>
          <w:szCs w:val="28"/>
        </w:rPr>
        <w:t>2016e adicional de tempo de serviço, Lei 8.112/90 Art. 67,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 valores estes que deverão ser devidamente monetariamentecorrigidos e acrescidos de juros legais moratórios;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 xml:space="preserve">c) </w:t>
      </w:r>
      <w:r>
        <w:rPr>
          <w:rFonts w:ascii="AGaramondPro-Regular" w:hAnsi="AGaramondPro-Regular" w:hint="eastAsia"/>
          <w:color w:val="000000"/>
          <w:sz w:val="28"/>
          <w:szCs w:val="28"/>
        </w:rPr>
        <w:t>a admissão de todos os meios de prova em direito admitidos, especialmentedocumental;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Bold" w:hAnsi="AGaramondPro-Bold" w:hint="eastAsia"/>
          <w:b/>
          <w:bCs/>
          <w:color w:val="000000"/>
          <w:sz w:val="28"/>
          <w:szCs w:val="28"/>
        </w:rPr>
        <w:t xml:space="preserve">d) </w:t>
      </w:r>
      <w:r>
        <w:rPr>
          <w:rFonts w:ascii="AGaramondPro-Bold" w:hAnsi="AGaramondPro-Bold"/>
          <w:color w:val="000000"/>
          <w:sz w:val="28"/>
          <w:szCs w:val="28"/>
        </w:rPr>
        <w:t>A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 autor</w:t>
      </w:r>
      <w:r>
        <w:rPr>
          <w:rFonts w:ascii="AGaramondPro-Regular" w:hAnsi="AGaramondPro-Regular"/>
          <w:color w:val="000000"/>
          <w:sz w:val="28"/>
          <w:szCs w:val="28"/>
        </w:rPr>
        <w:t>a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 renuncia ao valor que exceder o teto de 60 (sessenta) saláriosmínimos, para fixação de competência dos Juizados Especiais </w:t>
      </w:r>
      <w:proofErr w:type="gramStart"/>
      <w:r>
        <w:rPr>
          <w:rFonts w:ascii="AGaramondPro-Regular" w:hAnsi="AGaramondPro-Regular" w:hint="eastAsia"/>
          <w:color w:val="000000"/>
          <w:sz w:val="28"/>
          <w:szCs w:val="28"/>
        </w:rPr>
        <w:t>Federais.</w:t>
      </w:r>
      <w:proofErr w:type="gramEnd"/>
      <w:r>
        <w:rPr>
          <w:rFonts w:ascii="AGaramondPro-Regular" w:hAnsi="AGaramondPro-Regular" w:hint="eastAsia"/>
          <w:color w:val="000000"/>
          <w:sz w:val="28"/>
          <w:szCs w:val="28"/>
        </w:rPr>
        <w:t>Outrossim, por se tratar de questão meramente de direito, dispensa o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agendamento de audiência de conciliação e requer o julgamento antecipado da</w:t>
      </w:r>
      <w:r>
        <w:rPr>
          <w:rFonts w:ascii="AGaramondPro-Regular" w:hAnsi="AGaramondPro-Regular" w:hint="eastAsia"/>
          <w:color w:val="000000"/>
          <w:sz w:val="28"/>
          <w:szCs w:val="28"/>
        </w:rPr>
        <w:br/>
        <w:t>demanda.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br/>
      </w:r>
      <w:r>
        <w:rPr>
          <w:rFonts w:ascii="AGaramondPro-Regular" w:hAnsi="AGaramondPro-Regular" w:hint="eastAsia"/>
          <w:color w:val="222222"/>
          <w:sz w:val="28"/>
          <w:szCs w:val="28"/>
        </w:rPr>
        <w:t xml:space="preserve">Dá-se à causa o valor de R$ </w:t>
      </w:r>
      <w:r w:rsidR="00C14CB5">
        <w:rPr>
          <w:rFonts w:ascii="AGaramondPro-Regular" w:hAnsi="AGaramondPro-Regular"/>
          <w:color w:val="222222"/>
          <w:sz w:val="28"/>
          <w:szCs w:val="28"/>
        </w:rPr>
        <w:t>______</w:t>
      </w:r>
      <w:bookmarkStart w:id="0" w:name="_GoBack"/>
      <w:bookmarkEnd w:id="0"/>
      <w:r>
        <w:rPr>
          <w:rFonts w:ascii="AGaramondPro-Regular" w:hAnsi="AGaramondPro-Regular"/>
          <w:color w:val="222222"/>
          <w:sz w:val="28"/>
          <w:szCs w:val="28"/>
        </w:rPr>
        <w:t>, para fins de alçada</w:t>
      </w:r>
      <w:r>
        <w:rPr>
          <w:rFonts w:ascii="AGaramondPro-Regular" w:hAnsi="AGaramondPro-Regular" w:hint="eastAsia"/>
          <w:color w:val="222222"/>
          <w:sz w:val="28"/>
          <w:szCs w:val="28"/>
        </w:rPr>
        <w:t>.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222222"/>
          <w:sz w:val="28"/>
          <w:szCs w:val="28"/>
        </w:rPr>
      </w:pP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t>Nestes Termos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t>Pede Deferimento</w:t>
      </w:r>
    </w:p>
    <w:p w:rsidR="00147553" w:rsidRDefault="00147553" w:rsidP="00147553">
      <w:pPr>
        <w:ind w:firstLine="1440"/>
        <w:jc w:val="both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br/>
      </w:r>
    </w:p>
    <w:p w:rsidR="00147553" w:rsidRDefault="00147553" w:rsidP="00147553">
      <w:pPr>
        <w:ind w:firstLine="1440"/>
        <w:jc w:val="right"/>
        <w:rPr>
          <w:rFonts w:ascii="AGaramondPro-Regular" w:hAnsi="AGaramondPro-Regular"/>
          <w:color w:val="000000"/>
          <w:sz w:val="28"/>
          <w:szCs w:val="28"/>
        </w:rPr>
      </w:pP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Curitiba, </w:t>
      </w:r>
      <w:r>
        <w:rPr>
          <w:rFonts w:ascii="AGaramondPro-Regular" w:hAnsi="AGaramondPro-Regular"/>
          <w:color w:val="000000"/>
          <w:sz w:val="28"/>
          <w:szCs w:val="28"/>
        </w:rPr>
        <w:t>07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 de </w:t>
      </w:r>
      <w:r>
        <w:rPr>
          <w:rFonts w:ascii="AGaramondPro-Regular" w:hAnsi="AGaramondPro-Regular"/>
          <w:color w:val="000000"/>
          <w:sz w:val="28"/>
          <w:szCs w:val="28"/>
        </w:rPr>
        <w:t>maio</w:t>
      </w:r>
      <w:r>
        <w:rPr>
          <w:rFonts w:ascii="AGaramondPro-Regular" w:hAnsi="AGaramondPro-Regular" w:hint="eastAsia"/>
          <w:color w:val="000000"/>
          <w:sz w:val="28"/>
          <w:szCs w:val="28"/>
        </w:rPr>
        <w:t xml:space="preserve"> de 2018.</w:t>
      </w:r>
    </w:p>
    <w:p w:rsidR="00147553" w:rsidRDefault="00147553" w:rsidP="00147553">
      <w:pPr>
        <w:ind w:firstLine="1440"/>
        <w:jc w:val="right"/>
        <w:rPr>
          <w:rFonts w:ascii="AGaramondPro-Regular" w:hAnsi="AGaramondPro-Regular"/>
          <w:color w:val="000000"/>
          <w:sz w:val="28"/>
          <w:szCs w:val="28"/>
        </w:rPr>
      </w:pPr>
    </w:p>
    <w:p w:rsidR="00147553" w:rsidRDefault="00147553" w:rsidP="00147553">
      <w:pPr>
        <w:ind w:firstLine="1440"/>
        <w:jc w:val="right"/>
        <w:rPr>
          <w:rFonts w:ascii="AGaramondPro-Regular" w:hAnsi="AGaramondPro-Regular"/>
          <w:color w:val="000000"/>
          <w:sz w:val="28"/>
          <w:szCs w:val="28"/>
        </w:rPr>
      </w:pPr>
    </w:p>
    <w:p w:rsidR="00242F2C" w:rsidRDefault="00147553" w:rsidP="004D084B">
      <w:pPr>
        <w:ind w:firstLine="1440"/>
      </w:pPr>
      <w:r>
        <w:rPr>
          <w:rFonts w:ascii="AGaramondPro-Regular" w:hAnsi="AGaramondPro-Regular"/>
          <w:color w:val="000000"/>
          <w:sz w:val="28"/>
          <w:szCs w:val="28"/>
        </w:rPr>
        <w:t>_________________</w:t>
      </w:r>
    </w:p>
    <w:sectPr w:rsidR="00242F2C" w:rsidSect="00080A2B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ramon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Pro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553"/>
    <w:rsid w:val="00147553"/>
    <w:rsid w:val="004D084B"/>
    <w:rsid w:val="00B17AFA"/>
    <w:rsid w:val="00B45FA1"/>
    <w:rsid w:val="00C14CB5"/>
    <w:rsid w:val="00CD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147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147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4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5-2018/2016/lei/L13317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41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_ato2015-2018/2016/lei/L1331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_Ato2004-2006/2006/Lei/L11416.htm" TargetMode="External"/><Relationship Id="rId9" Type="http://schemas.openxmlformats.org/officeDocument/2006/relationships/hyperlink" Target="http://www.planalto.gov.br/ccivil_03/_Ato2004-2006/2006/Lei/L1141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2547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2018-05-07T11:44:00Z</dcterms:created>
  <dcterms:modified xsi:type="dcterms:W3CDTF">2018-05-08T13:44:00Z</dcterms:modified>
</cp:coreProperties>
</file>